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9402B"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highlight w:val="none"/>
          <w:lang w:val="en-US" w:eastAsia="zh-CN"/>
        </w:rPr>
        <w:t>南陵路48号</w:t>
      </w:r>
      <w:r>
        <w:rPr>
          <w:rFonts w:hint="eastAsia" w:ascii="仿宋" w:hAnsi="仿宋" w:eastAsia="仿宋" w:cs="仿宋"/>
          <w:b/>
          <w:bCs/>
          <w:sz w:val="36"/>
          <w:szCs w:val="36"/>
          <w:highlight w:val="none"/>
        </w:rPr>
        <w:t>工程交付标准</w:t>
      </w:r>
    </w:p>
    <w:p w14:paraId="58BE9DA0">
      <w:pPr>
        <w:rPr>
          <w:rStyle w:val="12"/>
          <w:rFonts w:hint="eastAsia" w:ascii="仿宋" w:hAnsi="仿宋" w:eastAsia="仿宋" w:cs="仿宋"/>
          <w:bCs/>
          <w:color w:val="404040"/>
          <w:sz w:val="32"/>
          <w:szCs w:val="32"/>
          <w:highlight w:val="none"/>
          <w:shd w:val="clear" w:color="auto" w:fill="FFFFFF"/>
        </w:rPr>
      </w:pPr>
    </w:p>
    <w:p w14:paraId="35230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Style w:val="12"/>
          <w:rFonts w:hint="eastAsia" w:ascii="仿宋" w:hAnsi="仿宋" w:eastAsia="仿宋" w:cs="仿宋"/>
          <w:b w:val="0"/>
          <w:bCs w:val="0"/>
          <w:color w:val="40404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404040"/>
          <w:sz w:val="32"/>
          <w:szCs w:val="32"/>
          <w:highlight w:val="none"/>
          <w:shd w:val="clear" w:color="auto" w:fill="FFFFFF"/>
          <w:lang w:val="en-US" w:eastAsia="zh-CN"/>
        </w:rPr>
        <w:t>瑶海区南陵路48号房产为地上7层框架结构，现状交付。室内增设弱电井，屋面增设消防水箱，一层增设消控室及消防配电间，室外露天增设生活泵房，室外地下消防泵房设备安装、室外消防水电安装等，新建火灾报警、喷淋消防系统仅预留到楼层。</w:t>
      </w:r>
    </w:p>
    <w:p w14:paraId="10F6E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Style w:val="12"/>
          <w:rFonts w:hint="eastAsia" w:ascii="仿宋" w:hAnsi="仿宋" w:eastAsia="仿宋" w:cs="仿宋"/>
          <w:b w:val="0"/>
          <w:bCs w:val="0"/>
          <w:color w:val="40404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404040"/>
          <w:sz w:val="32"/>
          <w:szCs w:val="32"/>
          <w:highlight w:val="none"/>
          <w:shd w:val="clear" w:color="auto" w:fill="FFFFFF"/>
          <w:lang w:val="en-US" w:eastAsia="zh-CN"/>
        </w:rPr>
        <w:t>除上述改造外，建筑外立面、室内装饰、室外广场、建筑给排水及电气系统等交付标准均为现状交付。</w:t>
      </w:r>
    </w:p>
    <w:p w14:paraId="3D27D8A2">
      <w:pPr>
        <w:pStyle w:val="2"/>
        <w:rPr>
          <w:rFonts w:hint="default"/>
          <w:lang w:val="en-US"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404040"/>
          <w:sz w:val="32"/>
          <w:szCs w:val="32"/>
          <w:highlight w:val="none"/>
          <w:shd w:val="clear" w:color="auto" w:fill="FFFFFF"/>
          <w:lang w:val="en-US" w:eastAsia="zh-CN"/>
        </w:rPr>
        <w:t>补充说明：后续改造需根据建设单位提供的图纸布局及功能，不改变现状使用功能。如改变房产分区或使用功能性质，由成交人自行报相关部门审批。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